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5BF4" w14:textId="77777777" w:rsidR="00154E35" w:rsidRPr="005A3FB6" w:rsidRDefault="00154E35" w:rsidP="00154E3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Supplementary material</w:t>
      </w:r>
      <w:r w:rsidRPr="005A3FB6">
        <w:rPr>
          <w:rFonts w:ascii="Calibri" w:hAnsi="Calibri" w:cs="Calibri"/>
          <w:b/>
          <w:bCs/>
          <w:sz w:val="22"/>
          <w:szCs w:val="22"/>
        </w:rPr>
        <w:t xml:space="preserve">. Shared Decision-Making Tool for </w:t>
      </w:r>
      <w:proofErr w:type="spellStart"/>
      <w:r w:rsidRPr="005A3FB6">
        <w:rPr>
          <w:rFonts w:ascii="Calibri" w:hAnsi="Calibri" w:cs="Calibri"/>
          <w:b/>
          <w:bCs/>
          <w:sz w:val="22"/>
          <w:szCs w:val="22"/>
        </w:rPr>
        <w:t>rUTI</w:t>
      </w:r>
      <w:proofErr w:type="spellEnd"/>
      <w:r w:rsidRPr="005A3FB6">
        <w:rPr>
          <w:rFonts w:ascii="Calibri" w:hAnsi="Calibri" w:cs="Calibri"/>
          <w:b/>
          <w:bCs/>
          <w:sz w:val="22"/>
          <w:szCs w:val="22"/>
        </w:rPr>
        <w:t xml:space="preserve"> Prevention</w:t>
      </w:r>
    </w:p>
    <w:p w14:paraId="06458971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5A3FB6">
        <w:rPr>
          <w:rFonts w:ascii="Calibri" w:hAnsi="Calibri" w:cs="Calibri"/>
          <w:sz w:val="22"/>
          <w:szCs w:val="22"/>
        </w:rPr>
        <w:br/>
      </w:r>
      <w:r w:rsidRPr="007F72CB">
        <w:rPr>
          <w:rFonts w:ascii="Calibri" w:hAnsi="Calibri" w:cs="Calibri"/>
          <w:sz w:val="22"/>
          <w:szCs w:val="22"/>
        </w:rPr>
        <w:t xml:space="preserve">This aims to support structured, patient-centred discussions about non-antibiotic prophylaxis options for </w:t>
      </w:r>
      <w:proofErr w:type="spellStart"/>
      <w:r w:rsidRPr="007F72CB">
        <w:rPr>
          <w:rFonts w:ascii="Calibri" w:hAnsi="Calibri" w:cs="Calibri"/>
          <w:sz w:val="22"/>
          <w:szCs w:val="22"/>
        </w:rPr>
        <w:t>rUTI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in primary care or outpatient settings. This tool is designed to be used during consultations to facilitate conversation regarding risks, benefits, feasibility, and patient preferences when developing an individualised prophylactic strategy.</w:t>
      </w:r>
    </w:p>
    <w:p w14:paraId="34B679CF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576BD828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  <w:u w:val="single"/>
        </w:rPr>
      </w:pPr>
      <w:r w:rsidRPr="007F72CB">
        <w:rPr>
          <w:rFonts w:ascii="Calibri" w:hAnsi="Calibri" w:cs="Calibri"/>
          <w:sz w:val="22"/>
          <w:szCs w:val="22"/>
          <w:u w:val="single"/>
        </w:rPr>
        <w:t>All patients</w:t>
      </w:r>
    </w:p>
    <w:p w14:paraId="5F506E31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Discuss Modifiable Risk Factors</w:t>
      </w:r>
    </w:p>
    <w:p w14:paraId="2BA02AB7" w14:textId="77777777" w:rsidR="00154E35" w:rsidRPr="007F72CB" w:rsidRDefault="00154E35" w:rsidP="00154E3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Hydration patterns, sexual triggers, menopausal status, contraception, urinary habits, constipation, diabetes control, hygiene practices.</w:t>
      </w:r>
    </w:p>
    <w:p w14:paraId="3A936AF3" w14:textId="77777777" w:rsidR="00154E35" w:rsidRPr="007F72CB" w:rsidRDefault="00154E35" w:rsidP="00154E3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Discuss behavioural adjustments (e.g., increasing fluids, adjusting spermicide use).</w:t>
      </w:r>
    </w:p>
    <w:p w14:paraId="447AB628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32AAFA1E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Clarify the diagnosis</w:t>
      </w:r>
    </w:p>
    <w:p w14:paraId="644A25B7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Rule out red flag symptoms and upgrade referral where appropriate</w:t>
      </w:r>
    </w:p>
    <w:p w14:paraId="0B95CF00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Confirm and record ≥2 culture-proven UTIs in 6 months or ≥3 in 12 months.</w:t>
      </w:r>
    </w:p>
    <w:p w14:paraId="0D32ED99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Explore how </w:t>
      </w:r>
      <w:proofErr w:type="spellStart"/>
      <w:r w:rsidRPr="007F72CB">
        <w:rPr>
          <w:rFonts w:ascii="Calibri" w:hAnsi="Calibri" w:cs="Calibri"/>
          <w:sz w:val="22"/>
          <w:szCs w:val="22"/>
        </w:rPr>
        <w:t>rUTIs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affect the patient’s quality of life, work, sexual activity, continence, and psychological wellbeing.</w:t>
      </w:r>
    </w:p>
    <w:p w14:paraId="75D1BBB4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Assess about the patient’s primary goals: fewer infections, fewer antibiotics, less discomfort, improved predictability, avoiding hospital visits, etc.</w:t>
      </w:r>
    </w:p>
    <w:p w14:paraId="0A1AE048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441ACF3F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Male</w:t>
      </w:r>
    </w:p>
    <w:p w14:paraId="538D7A5A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Rule out specific red flag symptoms: back pain, nocturnal enuresis and painless, palpable bladder distension.</w:t>
      </w:r>
    </w:p>
    <w:p w14:paraId="759BC00F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Assess for causes of infection:</w:t>
      </w:r>
    </w:p>
    <w:p w14:paraId="7323F8D5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Thorough LUTS assessment including adjuncts such as international prostate symptom score (IPSS) to assess voiding or storage LUTS</w:t>
      </w:r>
    </w:p>
    <w:p w14:paraId="460DE71C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History of prostatitis/</w:t>
      </w:r>
      <w:proofErr w:type="spellStart"/>
      <w:r w:rsidRPr="007F72CB">
        <w:rPr>
          <w:rFonts w:ascii="Calibri" w:hAnsi="Calibri" w:cs="Calibri"/>
          <w:sz w:val="22"/>
          <w:szCs w:val="22"/>
        </w:rPr>
        <w:t>epididymo</w:t>
      </w:r>
      <w:proofErr w:type="spellEnd"/>
      <w:r w:rsidRPr="007F72CB">
        <w:rPr>
          <w:rFonts w:ascii="Calibri" w:hAnsi="Calibri" w:cs="Calibri"/>
          <w:sz w:val="22"/>
          <w:szCs w:val="22"/>
        </w:rPr>
        <w:t>-orchitis</w:t>
      </w:r>
    </w:p>
    <w:p w14:paraId="1E67EE06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History of retention (previous medication/BOO surgery/catheter usage)</w:t>
      </w:r>
    </w:p>
    <w:p w14:paraId="14230F49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200E125A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Female</w:t>
      </w:r>
    </w:p>
    <w:p w14:paraId="56E2CE53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Present Evidence-Based Non-Antibiotic Options. For each intervention, explain:</w:t>
      </w:r>
    </w:p>
    <w:p w14:paraId="561238DE" w14:textId="77777777" w:rsidR="00154E35" w:rsidRPr="007F72CB" w:rsidRDefault="00154E35" w:rsidP="00154E3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What it is / how it works</w:t>
      </w:r>
    </w:p>
    <w:p w14:paraId="141C7A03" w14:textId="77777777" w:rsidR="00154E35" w:rsidRPr="007F72CB" w:rsidRDefault="00154E35" w:rsidP="00154E3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Effectiveness – relative risk reduction based on best-available evidence</w:t>
      </w:r>
    </w:p>
    <w:p w14:paraId="23818501" w14:textId="77777777" w:rsidR="00154E35" w:rsidRPr="007F72CB" w:rsidRDefault="00154E35" w:rsidP="00154E3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Safety considerations</w:t>
      </w:r>
    </w:p>
    <w:p w14:paraId="3AD84EE1" w14:textId="77777777" w:rsidR="00154E35" w:rsidRPr="007F72CB" w:rsidRDefault="00154E35" w:rsidP="00154E3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Practicality and cost</w:t>
      </w:r>
    </w:p>
    <w:p w14:paraId="1756ED93" w14:textId="77777777" w:rsidR="00154E35" w:rsidRPr="007F72CB" w:rsidRDefault="00154E35" w:rsidP="00154E3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Suitability for patient’s sex, age, menopausal status, comorbidity profile</w:t>
      </w:r>
    </w:p>
    <w:p w14:paraId="7CE4E017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7375BB54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First-line therapies:</w:t>
      </w:r>
    </w:p>
    <w:p w14:paraId="06A071CA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Methenamine </w:t>
      </w:r>
      <w:proofErr w:type="spellStart"/>
      <w:r w:rsidRPr="007F72CB">
        <w:rPr>
          <w:rFonts w:ascii="Calibri" w:hAnsi="Calibri" w:cs="Calibri"/>
          <w:sz w:val="22"/>
          <w:szCs w:val="22"/>
        </w:rPr>
        <w:t>hippurate</w:t>
      </w:r>
      <w:proofErr w:type="spellEnd"/>
    </w:p>
    <w:p w14:paraId="543A17FE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Vaginal </w:t>
      </w:r>
      <w:proofErr w:type="spellStart"/>
      <w:r w:rsidRPr="007F72CB">
        <w:rPr>
          <w:rFonts w:ascii="Calibri" w:hAnsi="Calibri" w:cs="Calibri"/>
          <w:sz w:val="22"/>
          <w:szCs w:val="22"/>
        </w:rPr>
        <w:t>estrogen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(postmenopausal women)</w:t>
      </w:r>
    </w:p>
    <w:p w14:paraId="53B73B4C" w14:textId="509EBC52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Cranberry extract (standardised </w:t>
      </w:r>
      <w:r w:rsidR="009737D4" w:rsidRPr="007F72CB">
        <w:rPr>
          <w:rFonts w:ascii="Calibri" w:hAnsi="Calibri" w:cs="Calibri"/>
          <w:sz w:val="22"/>
          <w:szCs w:val="22"/>
        </w:rPr>
        <w:t>proanthocyanidin [</w:t>
      </w:r>
      <w:r w:rsidRPr="007F72CB">
        <w:rPr>
          <w:rFonts w:ascii="Calibri" w:hAnsi="Calibri" w:cs="Calibri"/>
          <w:sz w:val="22"/>
          <w:szCs w:val="22"/>
        </w:rPr>
        <w:t>PAC</w:t>
      </w:r>
      <w:r w:rsidR="009737D4" w:rsidRPr="007F72CB">
        <w:rPr>
          <w:rFonts w:ascii="Calibri" w:hAnsi="Calibri" w:cs="Calibri"/>
          <w:sz w:val="22"/>
          <w:szCs w:val="22"/>
        </w:rPr>
        <w:t>]</w:t>
      </w:r>
      <w:r w:rsidRPr="007F72CB">
        <w:rPr>
          <w:rFonts w:ascii="Calibri" w:hAnsi="Calibri" w:cs="Calibri"/>
          <w:sz w:val="22"/>
          <w:szCs w:val="22"/>
        </w:rPr>
        <w:t xml:space="preserve"> content)</w:t>
      </w:r>
    </w:p>
    <w:p w14:paraId="376AAC26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125B09F8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Adjunct therapies:</w:t>
      </w:r>
    </w:p>
    <w:p w14:paraId="499A329B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lastRenderedPageBreak/>
        <w:t>D-mannose</w:t>
      </w:r>
    </w:p>
    <w:p w14:paraId="3B943109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Probiotics</w:t>
      </w:r>
    </w:p>
    <w:p w14:paraId="3F2A001C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Second line therapies after specialist urology referral:</w:t>
      </w:r>
    </w:p>
    <w:p w14:paraId="495303D8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7F72CB">
        <w:rPr>
          <w:rFonts w:ascii="Calibri" w:hAnsi="Calibri" w:cs="Calibri"/>
          <w:sz w:val="22"/>
          <w:szCs w:val="22"/>
        </w:rPr>
        <w:t>Immunoactive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prophylaxis</w:t>
      </w:r>
    </w:p>
    <w:p w14:paraId="10C74EDD" w14:textId="77777777" w:rsidR="00154E35" w:rsidRPr="007F72CB" w:rsidRDefault="00154E35" w:rsidP="00154E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Intravesical therapies</w:t>
      </w:r>
    </w:p>
    <w:p w14:paraId="49291C26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4929A98F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Exploring Patient Preferences</w:t>
      </w:r>
    </w:p>
    <w:p w14:paraId="5E5A9EED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Questions to facilitate preference-sensitive care:</w:t>
      </w:r>
    </w:p>
    <w:p w14:paraId="558FCAFB" w14:textId="77777777" w:rsidR="00154E35" w:rsidRPr="007F72CB" w:rsidRDefault="00154E35" w:rsidP="00154E3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Would daily low-burden treatments be beneficial or are event-driven options more suitable (</w:t>
      </w:r>
      <w:proofErr w:type="spellStart"/>
      <w:r w:rsidRPr="007F72CB">
        <w:rPr>
          <w:rFonts w:ascii="Calibri" w:hAnsi="Calibri" w:cs="Calibri"/>
          <w:sz w:val="22"/>
          <w:szCs w:val="22"/>
        </w:rPr>
        <w:t>eg.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Patients who get post-coital infections)?</w:t>
      </w:r>
    </w:p>
    <w:p w14:paraId="086AD3B5" w14:textId="77777777" w:rsidR="00154E35" w:rsidRPr="007F72CB" w:rsidRDefault="00154E35" w:rsidP="00154E3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How consistent will the patient be with treatment?</w:t>
      </w:r>
    </w:p>
    <w:p w14:paraId="0548760A" w14:textId="77777777" w:rsidR="00154E35" w:rsidRPr="007F72CB" w:rsidRDefault="00154E35" w:rsidP="00154E3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Are there any accessibility issues? </w:t>
      </w:r>
      <w:proofErr w:type="spellStart"/>
      <w:r w:rsidRPr="007F72CB">
        <w:rPr>
          <w:rFonts w:ascii="Calibri" w:hAnsi="Calibri" w:cs="Calibri"/>
          <w:sz w:val="22"/>
          <w:szCs w:val="22"/>
        </w:rPr>
        <w:t>Eg.</w:t>
      </w:r>
      <w:proofErr w:type="spellEnd"/>
      <w:r w:rsidRPr="007F72CB">
        <w:rPr>
          <w:rFonts w:ascii="Calibri" w:hAnsi="Calibri" w:cs="Calibri"/>
          <w:sz w:val="22"/>
          <w:szCs w:val="22"/>
        </w:rPr>
        <w:t xml:space="preserve"> Being able to get to hospital for bladder instillations/availability of vaccines in the local trust</w:t>
      </w:r>
    </w:p>
    <w:p w14:paraId="47E50259" w14:textId="77777777" w:rsidR="00154E35" w:rsidRPr="007F72CB" w:rsidRDefault="00154E35" w:rsidP="00154E3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 xml:space="preserve">Is the patient motivated to try multiple combination </w:t>
      </w:r>
      <w:proofErr w:type="gramStart"/>
      <w:r w:rsidRPr="007F72CB">
        <w:rPr>
          <w:rFonts w:ascii="Calibri" w:hAnsi="Calibri" w:cs="Calibri"/>
          <w:sz w:val="22"/>
          <w:szCs w:val="22"/>
        </w:rPr>
        <w:t>therapies</w:t>
      </w:r>
      <w:proofErr w:type="gramEnd"/>
    </w:p>
    <w:p w14:paraId="3797EA52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</w:p>
    <w:p w14:paraId="5A052B65" w14:textId="77777777" w:rsidR="00154E35" w:rsidRPr="007F72CB" w:rsidRDefault="00154E35" w:rsidP="00154E35">
      <w:p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Agree on a Plan and Monitoring</w:t>
      </w:r>
    </w:p>
    <w:p w14:paraId="135EB935" w14:textId="77777777" w:rsidR="00154E35" w:rsidRPr="007F72CB" w:rsidRDefault="00154E35" w:rsidP="00154E3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Choose first line intervention(s)</w:t>
      </w:r>
    </w:p>
    <w:p w14:paraId="33F3CEDE" w14:textId="77777777" w:rsidR="00154E35" w:rsidRPr="007F72CB" w:rsidRDefault="00154E35" w:rsidP="00154E3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Define expected timeframe for benefit (usually 3–6 months) and schedule follow-up accordingly</w:t>
      </w:r>
    </w:p>
    <w:p w14:paraId="2B53DF5C" w14:textId="77777777" w:rsidR="00154E35" w:rsidRPr="007F72CB" w:rsidRDefault="00154E35" w:rsidP="00154E3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72CB">
        <w:rPr>
          <w:rFonts w:ascii="Calibri" w:hAnsi="Calibri" w:cs="Calibri"/>
          <w:sz w:val="22"/>
          <w:szCs w:val="22"/>
        </w:rPr>
        <w:t>Agree on actions if infections recur (</w:t>
      </w:r>
      <w:proofErr w:type="gramStart"/>
      <w:r w:rsidRPr="007F72CB">
        <w:rPr>
          <w:rFonts w:ascii="Calibri" w:hAnsi="Calibri" w:cs="Calibri"/>
          <w:sz w:val="22"/>
          <w:szCs w:val="22"/>
        </w:rPr>
        <w:t>e.g.</w:t>
      </w:r>
      <w:proofErr w:type="gramEnd"/>
      <w:r w:rsidRPr="007F72CB">
        <w:rPr>
          <w:rFonts w:ascii="Calibri" w:hAnsi="Calibri" w:cs="Calibri"/>
          <w:sz w:val="22"/>
          <w:szCs w:val="22"/>
        </w:rPr>
        <w:t xml:space="preserve"> urine culture to be sent, rescue-pack antibiotics and possibly urology referral if refractory to treatment)</w:t>
      </w:r>
    </w:p>
    <w:p w14:paraId="027912A6" w14:textId="77777777" w:rsidR="009A2EC2" w:rsidRPr="007F72CB" w:rsidRDefault="009A2EC2"/>
    <w:sectPr w:rsidR="009A2EC2" w:rsidRPr="007F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9085" w14:textId="77777777" w:rsidR="007F72CB" w:rsidRDefault="007F72CB" w:rsidP="007F72CB">
      <w:r>
        <w:separator/>
      </w:r>
    </w:p>
  </w:endnote>
  <w:endnote w:type="continuationSeparator" w:id="0">
    <w:p w14:paraId="6FDF574B" w14:textId="77777777" w:rsidR="007F72CB" w:rsidRDefault="007F72CB" w:rsidP="007F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C618" w14:textId="77777777" w:rsidR="007F72CB" w:rsidRDefault="007F72CB" w:rsidP="007F72CB">
      <w:r>
        <w:separator/>
      </w:r>
    </w:p>
  </w:footnote>
  <w:footnote w:type="continuationSeparator" w:id="0">
    <w:p w14:paraId="149A65C0" w14:textId="77777777" w:rsidR="007F72CB" w:rsidRDefault="007F72CB" w:rsidP="007F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045"/>
    <w:multiLevelType w:val="multilevel"/>
    <w:tmpl w:val="FCB8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32461"/>
    <w:multiLevelType w:val="multilevel"/>
    <w:tmpl w:val="86A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E5401"/>
    <w:multiLevelType w:val="multilevel"/>
    <w:tmpl w:val="C33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AF"/>
    <w:multiLevelType w:val="multilevel"/>
    <w:tmpl w:val="0EF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1698B"/>
    <w:multiLevelType w:val="multilevel"/>
    <w:tmpl w:val="8EB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5"/>
    <w:rsid w:val="00154E35"/>
    <w:rsid w:val="004D75FE"/>
    <w:rsid w:val="006129B5"/>
    <w:rsid w:val="00654E9E"/>
    <w:rsid w:val="006E3DF8"/>
    <w:rsid w:val="007F72CB"/>
    <w:rsid w:val="00810FD0"/>
    <w:rsid w:val="009737D4"/>
    <w:rsid w:val="009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E21D79"/>
  <w15:chartTrackingRefBased/>
  <w15:docId w15:val="{8FB6AA80-36D9-4F64-BF15-E5FB13E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35"/>
    <w:rPr>
      <w:sz w:val="24"/>
      <w:szCs w:val="24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75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D75FE"/>
  </w:style>
  <w:style w:type="character" w:customStyle="1" w:styleId="a5">
    <w:name w:val="批注文字 字符"/>
    <w:basedOn w:val="a0"/>
    <w:link w:val="a4"/>
    <w:uiPriority w:val="99"/>
    <w:semiHidden/>
    <w:rsid w:val="004D75FE"/>
    <w:rPr>
      <w:sz w:val="24"/>
      <w:szCs w:val="24"/>
      <w:lang w:val="en-GB" w:eastAsia="en-US"/>
      <w14:ligatures w14:val="standardContextual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75F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D75FE"/>
    <w:rPr>
      <w:b/>
      <w:bCs/>
      <w:sz w:val="24"/>
      <w:szCs w:val="24"/>
      <w:lang w:val="en-GB"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7F7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F72CB"/>
    <w:rPr>
      <w:sz w:val="18"/>
      <w:szCs w:val="18"/>
      <w:lang w:val="en-GB" w:eastAsia="en-US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7F72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F72CB"/>
    <w:rPr>
      <w:sz w:val="18"/>
      <w:szCs w:val="18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4</cp:revision>
  <dcterms:created xsi:type="dcterms:W3CDTF">2026-05-31T21:58:00Z</dcterms:created>
  <dcterms:modified xsi:type="dcterms:W3CDTF">2026-06-01T08:19:00Z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57e06885-c486-4fda-bacb-8a27b38d3da3</vt:lpwstr>
  </property>
</Properties>
</file>